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8F645" w14:textId="1A2EE59E" w:rsidR="00A56B5C" w:rsidRPr="00A92CB1" w:rsidRDefault="00B706DE" w:rsidP="00A92CB1">
      <w:pPr>
        <w:spacing w:before="120" w:after="120" w:line="300" w:lineRule="exact"/>
        <w:contextualSpacing/>
        <w:jc w:val="center"/>
        <w:rPr>
          <w:rFonts w:ascii="Times New Roman" w:hAnsi="Times New Roman" w:cs="Times New Roman"/>
          <w:b/>
          <w:sz w:val="27"/>
          <w:szCs w:val="27"/>
        </w:rPr>
      </w:pPr>
      <w:r w:rsidRPr="00A92CB1">
        <w:rPr>
          <w:rFonts w:ascii="Times New Roman" w:hAnsi="Times New Roman" w:cs="Times New Roman"/>
          <w:b/>
          <w:sz w:val="27"/>
          <w:szCs w:val="27"/>
        </w:rPr>
        <w:t>PHỤ LỤC</w:t>
      </w:r>
      <w:r w:rsidR="00A56B5C" w:rsidRPr="00A92CB1">
        <w:rPr>
          <w:rFonts w:ascii="Times New Roman" w:hAnsi="Times New Roman" w:cs="Times New Roman"/>
          <w:b/>
          <w:sz w:val="27"/>
          <w:szCs w:val="27"/>
        </w:rPr>
        <w:t xml:space="preserve"> I</w:t>
      </w:r>
    </w:p>
    <w:p w14:paraId="697AEC51" w14:textId="06CFE9A0" w:rsidR="00F22B75" w:rsidRPr="00A92CB1" w:rsidRDefault="00A56B5C" w:rsidP="00A92CB1">
      <w:pPr>
        <w:spacing w:before="120" w:after="120" w:line="300" w:lineRule="exact"/>
        <w:contextualSpacing/>
        <w:jc w:val="center"/>
        <w:rPr>
          <w:rFonts w:ascii="Times New Roman" w:hAnsi="Times New Roman" w:cs="Times New Roman"/>
          <w:b/>
          <w:sz w:val="27"/>
          <w:szCs w:val="27"/>
        </w:rPr>
      </w:pPr>
      <w:r w:rsidRPr="00A92CB1">
        <w:rPr>
          <w:rFonts w:ascii="Times New Roman" w:hAnsi="Times New Roman" w:cs="Times New Roman"/>
          <w:b/>
          <w:sz w:val="27"/>
          <w:szCs w:val="27"/>
        </w:rPr>
        <w:t>QUY TẮC CỤ THỂ MẶT HÀNG</w:t>
      </w:r>
    </w:p>
    <w:p w14:paraId="5FED4F11" w14:textId="20AB5CF8" w:rsidR="003E2478" w:rsidRDefault="00F22B75" w:rsidP="00A92CB1">
      <w:pPr>
        <w:spacing w:before="120" w:after="120" w:line="300" w:lineRule="exact"/>
        <w:contextualSpacing/>
        <w:jc w:val="center"/>
        <w:rPr>
          <w:rFonts w:ascii="Times New Roman" w:hAnsi="Times New Roman" w:cs="Times New Roman"/>
          <w:i/>
          <w:sz w:val="27"/>
          <w:szCs w:val="27"/>
          <w:lang w:val="en-GB"/>
        </w:rPr>
      </w:pPr>
      <w:r w:rsidRPr="00A92CB1">
        <w:rPr>
          <w:rFonts w:ascii="Times New Roman" w:hAnsi="Times New Roman" w:cs="Times New Roman"/>
          <w:i/>
          <w:sz w:val="27"/>
          <w:szCs w:val="27"/>
        </w:rPr>
        <w:t>(</w:t>
      </w:r>
      <w:r w:rsidR="00A56B5C" w:rsidRPr="00A92CB1">
        <w:rPr>
          <w:rFonts w:ascii="Times New Roman" w:hAnsi="Times New Roman" w:cs="Times New Roman"/>
          <w:i/>
          <w:sz w:val="27"/>
          <w:szCs w:val="27"/>
          <w:lang w:val="en-GB"/>
        </w:rPr>
        <w:t xml:space="preserve">Ban hành kèm theo Thông tư số </w:t>
      </w:r>
      <w:r w:rsidR="00CD1045">
        <w:rPr>
          <w:rFonts w:ascii="Times New Roman" w:hAnsi="Times New Roman" w:cs="Times New Roman"/>
          <w:i/>
          <w:sz w:val="27"/>
          <w:szCs w:val="27"/>
          <w:lang w:val="en-GB"/>
        </w:rPr>
        <w:t>44</w:t>
      </w:r>
      <w:r w:rsidR="00A56B5C" w:rsidRPr="00A92CB1">
        <w:rPr>
          <w:rFonts w:ascii="Times New Roman" w:hAnsi="Times New Roman" w:cs="Times New Roman"/>
          <w:i/>
          <w:sz w:val="27"/>
          <w:szCs w:val="27"/>
          <w:lang w:val="en-GB"/>
        </w:rPr>
        <w:t>/</w:t>
      </w:r>
      <w:r w:rsidR="00B26820">
        <w:rPr>
          <w:rFonts w:ascii="Times New Roman" w:hAnsi="Times New Roman" w:cs="Times New Roman"/>
          <w:i/>
          <w:sz w:val="27"/>
          <w:szCs w:val="27"/>
          <w:lang w:val="en-GB"/>
        </w:rPr>
        <w:t>2025</w:t>
      </w:r>
      <w:r w:rsidR="00A56B5C" w:rsidRPr="00A92CB1">
        <w:rPr>
          <w:rFonts w:ascii="Times New Roman" w:hAnsi="Times New Roman" w:cs="Times New Roman"/>
          <w:i/>
          <w:sz w:val="27"/>
          <w:szCs w:val="27"/>
          <w:lang w:val="en-GB"/>
        </w:rPr>
        <w:t xml:space="preserve">/TT-BCT ngày </w:t>
      </w:r>
      <w:r w:rsidR="00CD1045">
        <w:rPr>
          <w:rFonts w:ascii="Times New Roman" w:hAnsi="Times New Roman" w:cs="Times New Roman"/>
          <w:i/>
          <w:sz w:val="27"/>
          <w:szCs w:val="27"/>
          <w:lang w:val="en-GB"/>
        </w:rPr>
        <w:t xml:space="preserve">07 </w:t>
      </w:r>
      <w:r w:rsidR="00A56B5C" w:rsidRPr="00A92CB1">
        <w:rPr>
          <w:rFonts w:ascii="Times New Roman" w:hAnsi="Times New Roman" w:cs="Times New Roman"/>
          <w:i/>
          <w:sz w:val="27"/>
          <w:szCs w:val="27"/>
          <w:lang w:val="en-GB"/>
        </w:rPr>
        <w:t xml:space="preserve">tháng </w:t>
      </w:r>
      <w:r w:rsidR="00CD1045">
        <w:rPr>
          <w:rFonts w:ascii="Times New Roman" w:hAnsi="Times New Roman" w:cs="Times New Roman"/>
          <w:i/>
          <w:sz w:val="27"/>
          <w:szCs w:val="27"/>
          <w:lang w:val="en-GB"/>
        </w:rPr>
        <w:t xml:space="preserve">7 </w:t>
      </w:r>
      <w:bookmarkStart w:id="0" w:name="_GoBack"/>
      <w:bookmarkEnd w:id="0"/>
      <w:r w:rsidR="00A56B5C" w:rsidRPr="00A92CB1">
        <w:rPr>
          <w:rFonts w:ascii="Times New Roman" w:hAnsi="Times New Roman" w:cs="Times New Roman"/>
          <w:i/>
          <w:sz w:val="27"/>
          <w:szCs w:val="27"/>
          <w:lang w:val="en-GB"/>
        </w:rPr>
        <w:t>năm</w:t>
      </w:r>
      <w:r w:rsidR="00B26820">
        <w:rPr>
          <w:rFonts w:ascii="Times New Roman" w:hAnsi="Times New Roman" w:cs="Times New Roman"/>
          <w:i/>
          <w:sz w:val="27"/>
          <w:szCs w:val="27"/>
          <w:lang w:val="en-GB"/>
        </w:rPr>
        <w:t xml:space="preserve"> 2025</w:t>
      </w:r>
      <w:r w:rsidR="005A28BC" w:rsidRPr="00A92CB1">
        <w:rPr>
          <w:rFonts w:ascii="Times New Roman" w:hAnsi="Times New Roman" w:cs="Times New Roman"/>
          <w:i/>
          <w:sz w:val="27"/>
          <w:szCs w:val="27"/>
          <w:lang w:val="en-GB"/>
        </w:rPr>
        <w:t xml:space="preserve">  </w:t>
      </w:r>
      <w:r w:rsidR="00A56B5C" w:rsidRPr="00A92CB1">
        <w:rPr>
          <w:rFonts w:ascii="Times New Roman" w:hAnsi="Times New Roman" w:cs="Times New Roman"/>
          <w:i/>
          <w:sz w:val="27"/>
          <w:szCs w:val="27"/>
          <w:lang w:val="en-GB"/>
        </w:rPr>
        <w:t xml:space="preserve"> </w:t>
      </w:r>
    </w:p>
    <w:p w14:paraId="2ECE5BDC" w14:textId="77777777" w:rsidR="003E2478" w:rsidRDefault="00A56B5C" w:rsidP="00A92CB1">
      <w:pPr>
        <w:spacing w:before="120" w:after="120" w:line="300" w:lineRule="exact"/>
        <w:contextualSpacing/>
        <w:jc w:val="center"/>
        <w:rPr>
          <w:rFonts w:ascii="Times New Roman" w:hAnsi="Times New Roman" w:cs="Times New Roman"/>
          <w:i/>
          <w:sz w:val="27"/>
          <w:szCs w:val="27"/>
          <w:lang w:val="en-GB"/>
        </w:rPr>
      </w:pPr>
      <w:r w:rsidRPr="00A92CB1">
        <w:rPr>
          <w:rFonts w:ascii="Times New Roman" w:hAnsi="Times New Roman" w:cs="Times New Roman"/>
          <w:i/>
          <w:sz w:val="27"/>
          <w:szCs w:val="27"/>
          <w:lang w:val="en-GB"/>
        </w:rPr>
        <w:t xml:space="preserve">của Bộ </w:t>
      </w:r>
      <w:r w:rsidR="005C1F8E" w:rsidRPr="00A92CB1">
        <w:rPr>
          <w:rFonts w:ascii="Times New Roman" w:hAnsi="Times New Roman" w:cs="Times New Roman"/>
          <w:i/>
          <w:sz w:val="27"/>
          <w:szCs w:val="27"/>
          <w:lang w:val="en-GB"/>
        </w:rPr>
        <w:t xml:space="preserve">trưởng Bộ </w:t>
      </w:r>
      <w:r w:rsidRPr="00A92CB1">
        <w:rPr>
          <w:rFonts w:ascii="Times New Roman" w:hAnsi="Times New Roman" w:cs="Times New Roman"/>
          <w:i/>
          <w:sz w:val="27"/>
          <w:szCs w:val="27"/>
          <w:lang w:val="en-GB"/>
        </w:rPr>
        <w:t xml:space="preserve">Công Thương </w:t>
      </w:r>
      <w:r w:rsidR="00CD617F" w:rsidRPr="00A92CB1">
        <w:rPr>
          <w:rFonts w:ascii="Times New Roman" w:hAnsi="Times New Roman" w:cs="Times New Roman"/>
          <w:i/>
          <w:sz w:val="27"/>
          <w:szCs w:val="27"/>
          <w:lang w:val="en-GB"/>
        </w:rPr>
        <w:t>q</w:t>
      </w:r>
      <w:r w:rsidR="00610F76" w:rsidRPr="00A92CB1">
        <w:rPr>
          <w:rFonts w:ascii="Times New Roman" w:hAnsi="Times New Roman" w:cs="Times New Roman"/>
          <w:i/>
          <w:sz w:val="27"/>
          <w:szCs w:val="27"/>
          <w:lang w:val="en-GB"/>
        </w:rPr>
        <w:t>uy định</w:t>
      </w:r>
      <w:r w:rsidRPr="00A92CB1">
        <w:rPr>
          <w:rFonts w:ascii="Times New Roman" w:hAnsi="Times New Roman" w:cs="Times New Roman"/>
          <w:i/>
          <w:sz w:val="27"/>
          <w:szCs w:val="27"/>
          <w:lang w:val="en-GB"/>
        </w:rPr>
        <w:t xml:space="preserve"> Quy tắc xuất xứ </w:t>
      </w:r>
      <w:r w:rsidR="00610F76" w:rsidRPr="00A92CB1">
        <w:rPr>
          <w:rFonts w:ascii="Times New Roman" w:hAnsi="Times New Roman" w:cs="Times New Roman"/>
          <w:i/>
          <w:sz w:val="27"/>
          <w:szCs w:val="27"/>
          <w:lang w:val="en-GB"/>
        </w:rPr>
        <w:t xml:space="preserve">hàng hoá </w:t>
      </w:r>
    </w:p>
    <w:p w14:paraId="2F754E77" w14:textId="2DFF1B7D" w:rsidR="00F22B75" w:rsidRPr="00A92CB1" w:rsidRDefault="00610F76" w:rsidP="00A92CB1">
      <w:pPr>
        <w:spacing w:before="120" w:after="120" w:line="300" w:lineRule="exact"/>
        <w:contextualSpacing/>
        <w:jc w:val="center"/>
        <w:rPr>
          <w:rFonts w:ascii="Times New Roman" w:hAnsi="Times New Roman" w:cs="Times New Roman"/>
          <w:i/>
          <w:sz w:val="27"/>
          <w:szCs w:val="27"/>
        </w:rPr>
      </w:pPr>
      <w:r w:rsidRPr="00A92CB1">
        <w:rPr>
          <w:rFonts w:ascii="Times New Roman" w:hAnsi="Times New Roman" w:cs="Times New Roman"/>
          <w:i/>
          <w:sz w:val="27"/>
          <w:szCs w:val="27"/>
          <w:lang w:val="en-GB"/>
        </w:rPr>
        <w:t>trong</w:t>
      </w:r>
      <w:r w:rsidR="00A56B5C" w:rsidRPr="00A92CB1">
        <w:rPr>
          <w:rFonts w:ascii="Times New Roman" w:hAnsi="Times New Roman" w:cs="Times New Roman"/>
          <w:i/>
          <w:sz w:val="27"/>
          <w:szCs w:val="27"/>
          <w:lang w:val="en-GB"/>
        </w:rPr>
        <w:t xml:space="preserve"> Hiệp định thành lập </w:t>
      </w:r>
      <w:r w:rsidR="00A30FAB" w:rsidRPr="00A92CB1">
        <w:rPr>
          <w:rFonts w:ascii="Times New Roman" w:hAnsi="Times New Roman" w:cs="Times New Roman"/>
          <w:i/>
          <w:sz w:val="27"/>
          <w:szCs w:val="27"/>
          <w:lang w:val="en-GB"/>
        </w:rPr>
        <w:t>K</w:t>
      </w:r>
      <w:r w:rsidR="00A56B5C" w:rsidRPr="00A92CB1">
        <w:rPr>
          <w:rFonts w:ascii="Times New Roman" w:hAnsi="Times New Roman" w:cs="Times New Roman"/>
          <w:i/>
          <w:sz w:val="27"/>
          <w:szCs w:val="27"/>
          <w:lang w:val="en-GB"/>
        </w:rPr>
        <w:t>hu vực thương mại tự do ASEAN</w:t>
      </w:r>
      <w:r w:rsidR="00CD617F" w:rsidRPr="00A92CB1">
        <w:rPr>
          <w:rFonts w:ascii="Times New Roman" w:hAnsi="Times New Roman" w:cs="Times New Roman"/>
          <w:i/>
          <w:sz w:val="27"/>
          <w:szCs w:val="27"/>
          <w:lang w:val="en-GB"/>
        </w:rPr>
        <w:t xml:space="preserve"> - </w:t>
      </w:r>
      <w:r w:rsidR="0025377E" w:rsidRPr="00A92CB1">
        <w:rPr>
          <w:rFonts w:ascii="Times New Roman" w:hAnsi="Times New Roman" w:cs="Times New Roman"/>
          <w:i/>
          <w:sz w:val="27"/>
          <w:szCs w:val="27"/>
          <w:lang w:val="en-GB"/>
        </w:rPr>
        <w:t>Úc</w:t>
      </w:r>
      <w:r w:rsidR="00CD617F" w:rsidRPr="00A92CB1">
        <w:rPr>
          <w:rFonts w:ascii="Times New Roman" w:hAnsi="Times New Roman" w:cs="Times New Roman"/>
          <w:i/>
          <w:sz w:val="27"/>
          <w:szCs w:val="27"/>
          <w:lang w:val="en-GB"/>
        </w:rPr>
        <w:t xml:space="preserve"> </w:t>
      </w:r>
      <w:r w:rsidR="00A56B5C" w:rsidRPr="00A92CB1">
        <w:rPr>
          <w:rFonts w:ascii="Times New Roman" w:hAnsi="Times New Roman" w:cs="Times New Roman"/>
          <w:i/>
          <w:sz w:val="27"/>
          <w:szCs w:val="27"/>
          <w:lang w:val="en-GB"/>
        </w:rPr>
        <w:t xml:space="preserve">-Niu </w:t>
      </w:r>
      <w:r w:rsidR="001F7412" w:rsidRPr="00A92CB1">
        <w:rPr>
          <w:rFonts w:ascii="Times New Roman" w:hAnsi="Times New Roman" w:cs="Times New Roman"/>
          <w:i/>
          <w:sz w:val="27"/>
          <w:szCs w:val="27"/>
          <w:lang w:val="en-GB"/>
        </w:rPr>
        <w:t>D</w:t>
      </w:r>
      <w:r w:rsidR="00A56B5C" w:rsidRPr="00A92CB1">
        <w:rPr>
          <w:rFonts w:ascii="Times New Roman" w:hAnsi="Times New Roman" w:cs="Times New Roman"/>
          <w:i/>
          <w:sz w:val="27"/>
          <w:szCs w:val="27"/>
          <w:lang w:val="en-GB"/>
        </w:rPr>
        <w:t>i</w:t>
      </w:r>
      <w:r w:rsidR="001F7412" w:rsidRPr="00A92CB1">
        <w:rPr>
          <w:rFonts w:ascii="Times New Roman" w:hAnsi="Times New Roman" w:cs="Times New Roman"/>
          <w:i/>
          <w:sz w:val="27"/>
          <w:szCs w:val="27"/>
          <w:lang w:val="en-GB"/>
        </w:rPr>
        <w:t>-</w:t>
      </w:r>
      <w:r w:rsidR="00A56B5C" w:rsidRPr="00A92CB1">
        <w:rPr>
          <w:rFonts w:ascii="Times New Roman" w:hAnsi="Times New Roman" w:cs="Times New Roman"/>
          <w:i/>
          <w:sz w:val="27"/>
          <w:szCs w:val="27"/>
          <w:lang w:val="en-GB"/>
        </w:rPr>
        <w:t>lân</w:t>
      </w:r>
      <w:r w:rsidR="004C0B98" w:rsidRPr="00A92CB1">
        <w:rPr>
          <w:rFonts w:ascii="Times New Roman" w:hAnsi="Times New Roman" w:cs="Times New Roman"/>
          <w:i/>
          <w:sz w:val="27"/>
          <w:szCs w:val="27"/>
        </w:rPr>
        <w:t>)</w:t>
      </w:r>
    </w:p>
    <w:p w14:paraId="424FF6C2" w14:textId="58520276" w:rsidR="00F22B75" w:rsidRPr="00A92CB1" w:rsidRDefault="007B2488" w:rsidP="00A92CB1">
      <w:pPr>
        <w:spacing w:before="120" w:after="120" w:line="300" w:lineRule="exact"/>
        <w:jc w:val="center"/>
        <w:rPr>
          <w:rFonts w:ascii="Times New Roman" w:hAnsi="Times New Roman" w:cs="Times New Roman"/>
          <w:sz w:val="27"/>
          <w:szCs w:val="27"/>
        </w:rPr>
      </w:pPr>
      <w:r>
        <w:rPr>
          <w:b/>
          <w:bCs/>
          <w:noProof/>
          <w:sz w:val="28"/>
          <w:szCs w:val="28"/>
        </w:rPr>
        <mc:AlternateContent>
          <mc:Choice Requires="wps">
            <w:drawing>
              <wp:anchor distT="0" distB="0" distL="114300" distR="114300" simplePos="0" relativeHeight="251659264" behindDoc="0" locked="0" layoutInCell="1" allowOverlap="1" wp14:anchorId="01E2C545" wp14:editId="4A02343F">
                <wp:simplePos x="0" y="0"/>
                <wp:positionH relativeFrom="column">
                  <wp:posOffset>2038350</wp:posOffset>
                </wp:positionH>
                <wp:positionV relativeFrom="paragraph">
                  <wp:posOffset>80645</wp:posOffset>
                </wp:positionV>
                <wp:extent cx="1676400" cy="0"/>
                <wp:effectExtent l="7620" t="5080" r="11430" b="1397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EDAD0"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6.35pt" to="29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"/>
            </w:pict>
          </mc:Fallback>
        </mc:AlternateContent>
      </w:r>
    </w:p>
    <w:p w14:paraId="6D7A3C4E" w14:textId="5B611652" w:rsidR="003E2478" w:rsidRDefault="003E2478" w:rsidP="00A92CB1">
      <w:pPr>
        <w:spacing w:before="120" w:after="120" w:line="300" w:lineRule="exact"/>
        <w:ind w:firstLine="720"/>
        <w:rPr>
          <w:rFonts w:ascii="Times New Roman" w:hAnsi="Times New Roman" w:cs="Times New Roman"/>
          <w:b/>
          <w:sz w:val="27"/>
          <w:szCs w:val="27"/>
          <w:u w:val="single"/>
        </w:rPr>
      </w:pPr>
    </w:p>
    <w:p w14:paraId="10BA4DEA" w14:textId="4E1236DA" w:rsidR="003E1C74" w:rsidRPr="00A92CB1" w:rsidRDefault="003E1C74" w:rsidP="00A92CB1">
      <w:pPr>
        <w:spacing w:before="120" w:after="120" w:line="300" w:lineRule="exact"/>
        <w:ind w:firstLine="720"/>
        <w:rPr>
          <w:rFonts w:ascii="Times New Roman" w:hAnsi="Times New Roman" w:cs="Times New Roman"/>
          <w:b/>
          <w:sz w:val="27"/>
          <w:szCs w:val="27"/>
          <w:u w:val="single"/>
        </w:rPr>
      </w:pPr>
      <w:r w:rsidRPr="00A92CB1">
        <w:rPr>
          <w:rFonts w:ascii="Times New Roman" w:hAnsi="Times New Roman" w:cs="Times New Roman"/>
          <w:b/>
          <w:sz w:val="27"/>
          <w:szCs w:val="27"/>
          <w:u w:val="single"/>
        </w:rPr>
        <w:t>Giải thích chung</w:t>
      </w:r>
    </w:p>
    <w:p w14:paraId="564BD0E4" w14:textId="2A8B8DFF" w:rsidR="003E1C74" w:rsidRPr="00A92CB1" w:rsidRDefault="003E1C74" w:rsidP="00A92CB1">
      <w:pPr>
        <w:spacing w:before="120" w:after="120" w:line="300" w:lineRule="exact"/>
        <w:ind w:firstLine="720"/>
        <w:jc w:val="both"/>
        <w:rPr>
          <w:rFonts w:ascii="Times New Roman" w:hAnsi="Times New Roman" w:cs="Times New Roman"/>
          <w:sz w:val="27"/>
          <w:szCs w:val="27"/>
        </w:rPr>
      </w:pPr>
      <w:r w:rsidRPr="00A92CB1">
        <w:rPr>
          <w:rFonts w:ascii="Times New Roman" w:hAnsi="Times New Roman" w:cs="Times New Roman"/>
          <w:sz w:val="27"/>
          <w:szCs w:val="27"/>
        </w:rPr>
        <w:t>Trong phạm vi Phụ lục này:</w:t>
      </w:r>
    </w:p>
    <w:p w14:paraId="4797FE62" w14:textId="6C2D2EE4" w:rsidR="00561DBA" w:rsidRPr="00A92CB1" w:rsidRDefault="00561DBA" w:rsidP="00A92CB1">
      <w:pPr>
        <w:spacing w:before="120" w:after="120" w:line="300" w:lineRule="exact"/>
        <w:ind w:firstLine="709"/>
        <w:jc w:val="both"/>
        <w:rPr>
          <w:rFonts w:ascii="Times New Roman" w:eastAsia="Malgun Gothic" w:hAnsi="Times New Roman" w:cs="Times New Roman"/>
          <w:color w:val="000000"/>
          <w:sz w:val="27"/>
          <w:szCs w:val="27"/>
          <w:lang w:eastAsia="ko-KR"/>
        </w:rPr>
      </w:pPr>
      <w:r w:rsidRPr="00A92CB1">
        <w:rPr>
          <w:rFonts w:ascii="Times New Roman" w:hAnsi="Times New Roman" w:cs="Times New Roman"/>
          <w:sz w:val="27"/>
          <w:szCs w:val="27"/>
        </w:rPr>
        <w:t xml:space="preserve">1. Quy tắc cụ thể mặt hàng (sau đây gọi là danh mục PSR) được xây dựng trên cơ sở Hệ thống hài hòa mô tả và mã hóa hàng hoá năm 2022 (HS 2022). </w:t>
      </w:r>
      <w:r w:rsidRPr="00A92CB1">
        <w:rPr>
          <w:rFonts w:ascii="Times New Roman" w:eastAsia="Malgun Gothic" w:hAnsi="Times New Roman" w:cs="Times New Roman"/>
          <w:color w:val="000000"/>
          <w:sz w:val="27"/>
          <w:szCs w:val="27"/>
          <w:lang w:eastAsia="ko-KR"/>
        </w:rPr>
        <w:t xml:space="preserve">Trường hợp có bất kỳ sự khác biệt nào giữa phần mô tả tại Phụ lục này với phần mô tả tại văn kiện pháp lý của </w:t>
      </w:r>
      <w:r w:rsidRPr="00A92CB1">
        <w:rPr>
          <w:rFonts w:ascii="Times New Roman" w:eastAsia="SimSun" w:hAnsi="Times New Roman" w:cs="Times New Roman"/>
          <w:spacing w:val="-4"/>
          <w:sz w:val="27"/>
          <w:szCs w:val="27"/>
        </w:rPr>
        <w:t xml:space="preserve">Hệ thống Hài hòa do Tổ chức Hải quan Thế giới xây dựng, </w:t>
      </w:r>
      <w:r w:rsidRPr="00A92CB1">
        <w:rPr>
          <w:rFonts w:ascii="Times New Roman" w:eastAsia="Malgun Gothic" w:hAnsi="Times New Roman" w:cs="Times New Roman"/>
          <w:color w:val="000000"/>
          <w:sz w:val="27"/>
          <w:szCs w:val="27"/>
          <w:lang w:eastAsia="ko-KR"/>
        </w:rPr>
        <w:t xml:space="preserve">phần mô tả </w:t>
      </w:r>
      <w:r w:rsidRPr="00A92CB1">
        <w:rPr>
          <w:rFonts w:ascii="Times New Roman" w:eastAsia="SimSun" w:hAnsi="Times New Roman" w:cs="Times New Roman"/>
          <w:spacing w:val="-4"/>
          <w:sz w:val="27"/>
          <w:szCs w:val="27"/>
        </w:rPr>
        <w:t>tại Hệ thống Hài hòa của Tổ chức Hải quan Thế giới được áp dụng.</w:t>
      </w:r>
      <w:r w:rsidRPr="00A92CB1">
        <w:rPr>
          <w:rFonts w:ascii="Times New Roman" w:eastAsia="Malgun Gothic" w:hAnsi="Times New Roman" w:cs="Times New Roman"/>
          <w:color w:val="000000"/>
          <w:sz w:val="27"/>
          <w:szCs w:val="27"/>
          <w:lang w:eastAsia="ko-KR"/>
        </w:rPr>
        <w:t xml:space="preserve"> </w:t>
      </w:r>
    </w:p>
    <w:p w14:paraId="2D06D74F" w14:textId="78E7310F" w:rsidR="00561DBA" w:rsidRPr="00A92CB1" w:rsidRDefault="00561DBA" w:rsidP="00A92CB1">
      <w:pPr>
        <w:spacing w:before="120" w:after="120" w:line="300" w:lineRule="exact"/>
        <w:ind w:firstLine="709"/>
        <w:jc w:val="both"/>
        <w:rPr>
          <w:rFonts w:ascii="Times New Roman" w:eastAsia="Malgun Gothic" w:hAnsi="Times New Roman" w:cs="Times New Roman"/>
          <w:color w:val="000000"/>
          <w:sz w:val="27"/>
          <w:szCs w:val="27"/>
          <w:lang w:eastAsia="ko-KR"/>
        </w:rPr>
      </w:pPr>
      <w:r w:rsidRPr="00A92CB1">
        <w:rPr>
          <w:rFonts w:ascii="Times New Roman" w:eastAsia="Malgun Gothic" w:hAnsi="Times New Roman" w:cs="Times New Roman"/>
          <w:color w:val="000000"/>
          <w:sz w:val="27"/>
          <w:szCs w:val="27"/>
          <w:lang w:eastAsia="ko-KR"/>
        </w:rPr>
        <w:t xml:space="preserve">2. </w:t>
      </w:r>
      <w:r w:rsidRPr="00A92CB1">
        <w:rPr>
          <w:rFonts w:ascii="Times New Roman" w:hAnsi="Times New Roman" w:cs="Times New Roman"/>
          <w:sz w:val="27"/>
          <w:szCs w:val="27"/>
        </w:rPr>
        <w:t xml:space="preserve">Trong danh mục PSR, cột đầu tiên gồm có các chương, nhóm hoặc phân nhóm, cột thứ hai là mô tả hàng hoá và cột thứ ba quy định về tiêu chí xuất xứ cho từng mặt hàng cụ thể. </w:t>
      </w:r>
    </w:p>
    <w:p w14:paraId="7A7EC624"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a) </w:t>
      </w:r>
      <w:r w:rsidRPr="00A92CB1">
        <w:rPr>
          <w:rFonts w:ascii="Times New Roman" w:hAnsi="Times New Roman" w:cs="Times New Roman"/>
          <w:i/>
          <w:iCs/>
          <w:sz w:val="27"/>
          <w:szCs w:val="27"/>
        </w:rPr>
        <w:t>Chương</w:t>
      </w:r>
      <w:r w:rsidRPr="00A92CB1">
        <w:rPr>
          <w:rFonts w:ascii="Times New Roman" w:hAnsi="Times New Roman" w:cs="Times New Roman"/>
          <w:sz w:val="27"/>
          <w:szCs w:val="27"/>
        </w:rPr>
        <w:t xml:space="preserve"> là hai số đầu tiên của mã số phân loại hàng hoá theo mã HS;</w:t>
      </w:r>
    </w:p>
    <w:p w14:paraId="6C84481D"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b) </w:t>
      </w:r>
      <w:r w:rsidRPr="00A92CB1">
        <w:rPr>
          <w:rFonts w:ascii="Times New Roman" w:hAnsi="Times New Roman" w:cs="Times New Roman"/>
          <w:i/>
          <w:iCs/>
          <w:sz w:val="27"/>
          <w:szCs w:val="27"/>
        </w:rPr>
        <w:t>Nhóm</w:t>
      </w:r>
      <w:r w:rsidRPr="00A92CB1">
        <w:rPr>
          <w:rFonts w:ascii="Times New Roman" w:hAnsi="Times New Roman" w:cs="Times New Roman"/>
          <w:sz w:val="27"/>
          <w:szCs w:val="27"/>
        </w:rPr>
        <w:t xml:space="preserve"> là bốn số đầu tiên của mã số phân loại hàng hoá theo mã HS; </w:t>
      </w:r>
    </w:p>
    <w:p w14:paraId="29CF7640"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c) </w:t>
      </w:r>
      <w:r w:rsidRPr="00A92CB1">
        <w:rPr>
          <w:rFonts w:ascii="Times New Roman" w:hAnsi="Times New Roman" w:cs="Times New Roman"/>
          <w:i/>
          <w:iCs/>
          <w:sz w:val="27"/>
          <w:szCs w:val="27"/>
        </w:rPr>
        <w:t>Phân nhóm</w:t>
      </w:r>
      <w:r w:rsidRPr="00A92CB1">
        <w:rPr>
          <w:rFonts w:ascii="Times New Roman" w:hAnsi="Times New Roman" w:cs="Times New Roman"/>
          <w:sz w:val="27"/>
          <w:szCs w:val="27"/>
        </w:rPr>
        <w:t xml:space="preserve"> là sáu số đầu tiên của mã số phân loại hàng hoá theo mã HS.</w:t>
      </w:r>
    </w:p>
    <w:p w14:paraId="16F83684"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3. Khi một nhóm hoặc một phân nhóm cụ thể được quy định áp dụng tiêu chí lựa chọn, hàng hóa được coi là có xuất xứ nếu đáp ứng một trong các tiêu chí lựa chọn đó. </w:t>
      </w:r>
    </w:p>
    <w:p w14:paraId="4B502172"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4. Trường hợp quy tắc hàm lượng giá trị khu vực được áp dụng, công đoạn sản xuất cuối cùng phải được thực hiện tại một nước thành viên.</w:t>
      </w:r>
    </w:p>
    <w:p w14:paraId="5C1FF4CB"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5. Yêu cầu chuyển đổi mã số hàng hoá chỉ áp dụng đối với nguyên liệu không có xuất xứ.</w:t>
      </w:r>
    </w:p>
    <w:p w14:paraId="50FEFC8B"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6. Trường hợp quy tắc chuyển đổi mã số hàng hoá nhấn mạnh việc không cho phép chuyển đổi từ một mã số hàng hoá khác, việc loại trừ đó áp dụng chỉ đối với nguyên liệu không có xuất xứ. </w:t>
      </w:r>
    </w:p>
    <w:p w14:paraId="612B3071"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7. Tại cột thứ ba của danh mục PSR trong phạm vi Phụ lục này, một số thuật ngữ được hiểu như sau:</w:t>
      </w:r>
    </w:p>
    <w:p w14:paraId="50EE57FC" w14:textId="4FB9C48D"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a) </w:t>
      </w:r>
      <w:r w:rsidRPr="00A92CB1">
        <w:rPr>
          <w:rFonts w:ascii="Times New Roman" w:hAnsi="Times New Roman" w:cs="Times New Roman"/>
          <w:i/>
          <w:iCs/>
          <w:sz w:val="27"/>
          <w:szCs w:val="27"/>
        </w:rPr>
        <w:t xml:space="preserve">WO </w:t>
      </w:r>
      <w:r w:rsidRPr="00A92CB1">
        <w:rPr>
          <w:rFonts w:ascii="Times New Roman" w:hAnsi="Times New Roman" w:cs="Times New Roman"/>
          <w:sz w:val="27"/>
          <w:szCs w:val="27"/>
        </w:rPr>
        <w:t xml:space="preserve">nghĩa là hàng hoá có xuất xứ thuần tuý hoặc được sản xuất toàn bộ tại lãnh thổ của một nước thành viên theo định nghĩa tại điểm a khoản 1 Điều </w:t>
      </w:r>
      <w:r w:rsidR="005A28BC" w:rsidRPr="00A92CB1">
        <w:rPr>
          <w:rFonts w:ascii="Times New Roman" w:hAnsi="Times New Roman" w:cs="Times New Roman"/>
          <w:sz w:val="27"/>
          <w:szCs w:val="27"/>
        </w:rPr>
        <w:t>5</w:t>
      </w:r>
      <w:r w:rsidRPr="00A92CB1">
        <w:rPr>
          <w:rFonts w:ascii="Times New Roman" w:hAnsi="Times New Roman" w:cs="Times New Roman"/>
          <w:sz w:val="27"/>
          <w:szCs w:val="27"/>
        </w:rPr>
        <w:t xml:space="preserve"> </w:t>
      </w:r>
      <w:r w:rsidR="005A28BC" w:rsidRPr="00A92CB1">
        <w:rPr>
          <w:rFonts w:ascii="Times New Roman" w:hAnsi="Times New Roman" w:cs="Times New Roman"/>
          <w:sz w:val="27"/>
          <w:szCs w:val="27"/>
        </w:rPr>
        <w:t xml:space="preserve">của </w:t>
      </w:r>
      <w:r w:rsidRPr="00A92CB1">
        <w:rPr>
          <w:rFonts w:ascii="Times New Roman" w:hAnsi="Times New Roman" w:cs="Times New Roman"/>
          <w:sz w:val="27"/>
          <w:szCs w:val="27"/>
        </w:rPr>
        <w:t xml:space="preserve">Thông tư </w:t>
      </w:r>
      <w:r w:rsidR="00937078" w:rsidRPr="00A92CB1">
        <w:rPr>
          <w:rFonts w:ascii="Times New Roman" w:hAnsi="Times New Roman" w:cs="Times New Roman"/>
          <w:sz w:val="27"/>
          <w:szCs w:val="27"/>
        </w:rPr>
        <w:t>này</w:t>
      </w:r>
      <w:r w:rsidRPr="00A92CB1">
        <w:rPr>
          <w:rFonts w:ascii="Times New Roman" w:hAnsi="Times New Roman" w:cs="Times New Roman"/>
          <w:sz w:val="27"/>
          <w:szCs w:val="27"/>
        </w:rPr>
        <w:t>.</w:t>
      </w:r>
    </w:p>
    <w:p w14:paraId="62B23ED4" w14:textId="634D4D6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b) </w:t>
      </w:r>
      <w:r w:rsidRPr="00A92CB1">
        <w:rPr>
          <w:rFonts w:ascii="Times New Roman" w:hAnsi="Times New Roman" w:cs="Times New Roman"/>
          <w:i/>
          <w:iCs/>
          <w:sz w:val="27"/>
          <w:szCs w:val="27"/>
        </w:rPr>
        <w:t>RVC (XX)</w:t>
      </w:r>
      <w:r w:rsidRPr="00A92CB1">
        <w:rPr>
          <w:rFonts w:ascii="Times New Roman" w:hAnsi="Times New Roman" w:cs="Times New Roman"/>
          <w:sz w:val="27"/>
          <w:szCs w:val="27"/>
        </w:rPr>
        <w:t xml:space="preserve"> nghĩa là hàng hoá đạt hàm lượng giá trị khu vực không nhỏ hơn XX phần trăm (%) theo công thức quy định tại Điều </w:t>
      </w:r>
      <w:r w:rsidR="005A28BC" w:rsidRPr="00A92CB1">
        <w:rPr>
          <w:rFonts w:ascii="Times New Roman" w:hAnsi="Times New Roman" w:cs="Times New Roman"/>
          <w:sz w:val="27"/>
          <w:szCs w:val="27"/>
        </w:rPr>
        <w:t>8</w:t>
      </w:r>
      <w:r w:rsidRPr="00A92CB1">
        <w:rPr>
          <w:rFonts w:ascii="Times New Roman" w:hAnsi="Times New Roman" w:cs="Times New Roman"/>
          <w:sz w:val="27"/>
          <w:szCs w:val="27"/>
        </w:rPr>
        <w:t xml:space="preserve"> </w:t>
      </w:r>
      <w:r w:rsidR="005A28BC" w:rsidRPr="00A92CB1">
        <w:rPr>
          <w:rFonts w:ascii="Times New Roman" w:hAnsi="Times New Roman" w:cs="Times New Roman"/>
          <w:sz w:val="27"/>
          <w:szCs w:val="27"/>
        </w:rPr>
        <w:t>của</w:t>
      </w:r>
      <w:r w:rsidRPr="00A92CB1">
        <w:rPr>
          <w:rFonts w:ascii="Times New Roman" w:hAnsi="Times New Roman" w:cs="Times New Roman"/>
          <w:sz w:val="27"/>
          <w:szCs w:val="27"/>
        </w:rPr>
        <w:t xml:space="preserve"> </w:t>
      </w:r>
      <w:r w:rsidR="005A28BC" w:rsidRPr="00A92CB1">
        <w:rPr>
          <w:rFonts w:ascii="Times New Roman" w:hAnsi="Times New Roman" w:cs="Times New Roman"/>
          <w:sz w:val="27"/>
          <w:szCs w:val="27"/>
        </w:rPr>
        <w:t xml:space="preserve">Thông tư </w:t>
      </w:r>
      <w:r w:rsidR="00937078" w:rsidRPr="00A92CB1">
        <w:rPr>
          <w:rFonts w:ascii="Times New Roman" w:hAnsi="Times New Roman" w:cs="Times New Roman"/>
          <w:sz w:val="27"/>
          <w:szCs w:val="27"/>
        </w:rPr>
        <w:t>này</w:t>
      </w:r>
      <w:r w:rsidR="005A28BC" w:rsidRPr="00A92CB1">
        <w:rPr>
          <w:rFonts w:ascii="Times New Roman" w:hAnsi="Times New Roman" w:cs="Times New Roman"/>
          <w:sz w:val="27"/>
          <w:szCs w:val="27"/>
        </w:rPr>
        <w:t>.</w:t>
      </w:r>
    </w:p>
    <w:p w14:paraId="6B213483"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c) </w:t>
      </w:r>
      <w:r w:rsidRPr="00A92CB1">
        <w:rPr>
          <w:rFonts w:ascii="Times New Roman" w:hAnsi="Times New Roman" w:cs="Times New Roman"/>
          <w:i/>
          <w:iCs/>
          <w:sz w:val="27"/>
          <w:szCs w:val="27"/>
        </w:rPr>
        <w:t xml:space="preserve">CC </w:t>
      </w:r>
      <w:r w:rsidRPr="00A92CB1">
        <w:rPr>
          <w:rFonts w:ascii="Times New Roman" w:hAnsi="Times New Roman" w:cs="Times New Roman"/>
          <w:sz w:val="27"/>
          <w:szCs w:val="27"/>
        </w:rPr>
        <w:t>nghĩa là tất cả nguyên liệu không có xuất xứ sử dụng trong quá trình sản xuất ra hàng hoá phải trải qua quá trình chuyển đổi mã số hàng hoá ở cấp 2 (hai) số (chuyển đổi Chương).</w:t>
      </w:r>
    </w:p>
    <w:p w14:paraId="73E87C33"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lastRenderedPageBreak/>
        <w:tab/>
        <w:t xml:space="preserve">d) </w:t>
      </w:r>
      <w:r w:rsidRPr="00A92CB1">
        <w:rPr>
          <w:rFonts w:ascii="Times New Roman" w:hAnsi="Times New Roman" w:cs="Times New Roman"/>
          <w:i/>
          <w:iCs/>
          <w:sz w:val="27"/>
          <w:szCs w:val="27"/>
        </w:rPr>
        <w:t xml:space="preserve">CTH </w:t>
      </w:r>
      <w:r w:rsidRPr="00A92CB1">
        <w:rPr>
          <w:rFonts w:ascii="Times New Roman" w:hAnsi="Times New Roman" w:cs="Times New Roman"/>
          <w:sz w:val="27"/>
          <w:szCs w:val="27"/>
        </w:rPr>
        <w:t>nghĩa là tất cả nguyên liệu không có xuất xứ sử dụng trong quá trình sản xuất ra hàng hoá phải trải qua quá trình chuyển đổi mã số hàng hoá ở cấp 4 (bốn) số (chuyển đổi Nhóm).</w:t>
      </w:r>
    </w:p>
    <w:p w14:paraId="38F19F0C"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đ) </w:t>
      </w:r>
      <w:r w:rsidRPr="00A92CB1">
        <w:rPr>
          <w:rFonts w:ascii="Times New Roman" w:hAnsi="Times New Roman" w:cs="Times New Roman"/>
          <w:i/>
          <w:iCs/>
          <w:sz w:val="27"/>
          <w:szCs w:val="27"/>
        </w:rPr>
        <w:t xml:space="preserve">CTSH </w:t>
      </w:r>
      <w:r w:rsidRPr="00A92CB1">
        <w:rPr>
          <w:rFonts w:ascii="Times New Roman" w:hAnsi="Times New Roman" w:cs="Times New Roman"/>
          <w:sz w:val="27"/>
          <w:szCs w:val="27"/>
        </w:rPr>
        <w:t>nghĩa là tất cả nguyên liệu không có xuất xứ sử dụng trong quá trình sản xuất ra hàng hoá phải trải qua quá trình chuyển đổi mã số hàng hoá ở cấp 6 (sáu) số (chuyển đổi Phân nhóm).</w:t>
      </w:r>
    </w:p>
    <w:p w14:paraId="286F6634" w14:textId="77777777" w:rsidR="00561DBA" w:rsidRPr="00A92CB1" w:rsidRDefault="00561DBA" w:rsidP="00A92CB1">
      <w:pPr>
        <w:spacing w:before="120" w:after="120" w:line="300" w:lineRule="exact"/>
        <w:jc w:val="both"/>
        <w:rPr>
          <w:rFonts w:ascii="Times New Roman" w:hAnsi="Times New Roman" w:cs="Times New Roman"/>
          <w:sz w:val="27"/>
          <w:szCs w:val="27"/>
        </w:rPr>
      </w:pPr>
      <w:r w:rsidRPr="00A92CB1">
        <w:rPr>
          <w:rFonts w:ascii="Times New Roman" w:hAnsi="Times New Roman" w:cs="Times New Roman"/>
          <w:sz w:val="27"/>
          <w:szCs w:val="27"/>
        </w:rPr>
        <w:tab/>
        <w:t xml:space="preserve">8. Chú thích Chương trong phạm vi Phụ lục này áp dụng đối với tất cả các nhóm hoặc phân nhóm thuộc chương được nhắc đến trừ khi có quy định trường hợp ngoại lệ. </w:t>
      </w:r>
    </w:p>
    <w:p w14:paraId="547A3129" w14:textId="77777777" w:rsidR="00F22B75" w:rsidRPr="00A92CB1" w:rsidRDefault="00F22B75" w:rsidP="00A92CB1">
      <w:pPr>
        <w:spacing w:before="120" w:after="120" w:line="300" w:lineRule="exact"/>
        <w:jc w:val="both"/>
        <w:rPr>
          <w:rFonts w:ascii="Times New Roman" w:hAnsi="Times New Roman" w:cs="Times New Roman"/>
          <w:sz w:val="27"/>
          <w:szCs w:val="27"/>
        </w:rPr>
      </w:pPr>
    </w:p>
    <w:p w14:paraId="6EBCC18A" w14:textId="77777777" w:rsidR="00F22B75" w:rsidRPr="00A92CB1" w:rsidRDefault="00F22B75" w:rsidP="00A92CB1">
      <w:pPr>
        <w:spacing w:before="120" w:after="120" w:line="300" w:lineRule="exact"/>
        <w:jc w:val="both"/>
        <w:rPr>
          <w:rFonts w:ascii="Times New Roman" w:hAnsi="Times New Roman" w:cs="Times New Roman"/>
          <w:sz w:val="27"/>
          <w:szCs w:val="27"/>
        </w:rPr>
      </w:pPr>
    </w:p>
    <w:p w14:paraId="5A59CE8E" w14:textId="7D135B9B" w:rsidR="007F1484" w:rsidRPr="00A92CB1" w:rsidRDefault="007F1484" w:rsidP="00A92CB1">
      <w:pPr>
        <w:spacing w:before="120" w:after="120" w:line="300" w:lineRule="exact"/>
        <w:rPr>
          <w:sz w:val="27"/>
          <w:szCs w:val="27"/>
        </w:rPr>
      </w:pPr>
    </w:p>
    <w:p w14:paraId="6AAE34D4" w14:textId="382D9C08" w:rsidR="00B3656F" w:rsidRPr="00A92CB1" w:rsidRDefault="00B3656F" w:rsidP="00A92CB1">
      <w:pPr>
        <w:spacing w:before="120" w:after="120" w:line="300" w:lineRule="exact"/>
        <w:rPr>
          <w:sz w:val="27"/>
          <w:szCs w:val="27"/>
        </w:rPr>
      </w:pPr>
    </w:p>
    <w:p w14:paraId="48C7B1C7" w14:textId="2FFBF516" w:rsidR="00B3656F" w:rsidRPr="00A92CB1" w:rsidRDefault="00B3656F" w:rsidP="00A92CB1">
      <w:pPr>
        <w:spacing w:before="120" w:after="120" w:line="300" w:lineRule="exact"/>
        <w:rPr>
          <w:sz w:val="27"/>
          <w:szCs w:val="27"/>
        </w:rPr>
      </w:pPr>
    </w:p>
    <w:p w14:paraId="6FF62601" w14:textId="511CEC79" w:rsidR="00B3656F" w:rsidRPr="00A92CB1" w:rsidRDefault="00B3656F" w:rsidP="00A92CB1">
      <w:pPr>
        <w:spacing w:before="120" w:after="120" w:line="300" w:lineRule="exact"/>
        <w:rPr>
          <w:sz w:val="27"/>
          <w:szCs w:val="27"/>
        </w:rPr>
      </w:pPr>
    </w:p>
    <w:p w14:paraId="5DA8BE63" w14:textId="2D9CD367" w:rsidR="00B3656F" w:rsidRPr="00A92CB1" w:rsidRDefault="00B3656F" w:rsidP="00A92CB1">
      <w:pPr>
        <w:spacing w:before="120" w:after="120" w:line="300" w:lineRule="exact"/>
        <w:rPr>
          <w:sz w:val="27"/>
          <w:szCs w:val="27"/>
        </w:rPr>
      </w:pPr>
    </w:p>
    <w:p w14:paraId="7466DE6C" w14:textId="296FC46E" w:rsidR="00B3656F" w:rsidRPr="00A92CB1" w:rsidRDefault="00B3656F" w:rsidP="00A92CB1">
      <w:pPr>
        <w:spacing w:before="120" w:after="120" w:line="300" w:lineRule="exact"/>
        <w:rPr>
          <w:sz w:val="27"/>
          <w:szCs w:val="27"/>
        </w:rPr>
      </w:pPr>
    </w:p>
    <w:p w14:paraId="3FCF78B7" w14:textId="1556ECA2" w:rsidR="00B3656F" w:rsidRPr="00A92CB1" w:rsidRDefault="00B3656F" w:rsidP="00A92CB1">
      <w:pPr>
        <w:spacing w:before="120" w:after="120" w:line="300" w:lineRule="exact"/>
        <w:rPr>
          <w:sz w:val="27"/>
          <w:szCs w:val="27"/>
        </w:rPr>
      </w:pPr>
    </w:p>
    <w:p w14:paraId="42C0C8C3" w14:textId="78E2A65F" w:rsidR="00B3656F" w:rsidRPr="00A92CB1" w:rsidRDefault="00B3656F" w:rsidP="00A92CB1">
      <w:pPr>
        <w:spacing w:before="120" w:after="120" w:line="300" w:lineRule="exact"/>
        <w:rPr>
          <w:sz w:val="27"/>
          <w:szCs w:val="27"/>
        </w:rPr>
      </w:pPr>
    </w:p>
    <w:p w14:paraId="2A1579EF" w14:textId="14F37D33" w:rsidR="00B3656F" w:rsidRPr="00A92CB1" w:rsidRDefault="00B3656F" w:rsidP="00A92CB1">
      <w:pPr>
        <w:spacing w:before="120" w:after="120" w:line="300" w:lineRule="exact"/>
        <w:rPr>
          <w:sz w:val="27"/>
          <w:szCs w:val="27"/>
        </w:rPr>
      </w:pPr>
    </w:p>
    <w:p w14:paraId="5C16C9EB" w14:textId="77777777" w:rsidR="00B3656F" w:rsidRPr="00A92CB1" w:rsidRDefault="00B3656F" w:rsidP="00A92CB1">
      <w:pPr>
        <w:spacing w:before="120" w:after="120" w:line="300" w:lineRule="exact"/>
        <w:jc w:val="right"/>
        <w:rPr>
          <w:sz w:val="27"/>
          <w:szCs w:val="27"/>
        </w:rPr>
      </w:pPr>
    </w:p>
    <w:sectPr w:rsidR="00B3656F" w:rsidRPr="00A92CB1" w:rsidSect="00A623A3">
      <w:headerReference w:type="even" r:id="rId8"/>
      <w:headerReference w:type="default" r:id="rId9"/>
      <w:footerReference w:type="even" r:id="rId10"/>
      <w:footerReference w:type="default" r:id="rId11"/>
      <w:headerReference w:type="first" r:id="rId12"/>
      <w:footerReference w:type="first" r:id="rId13"/>
      <w:footnotePr>
        <w:numStart w:val="10"/>
      </w:footnotePr>
      <w:type w:val="continuous"/>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8388A" w14:textId="77777777" w:rsidR="00E9041E" w:rsidRDefault="00E9041E" w:rsidP="00D266B9">
      <w:pPr>
        <w:spacing w:after="0" w:line="240" w:lineRule="auto"/>
      </w:pPr>
      <w:r>
        <w:separator/>
      </w:r>
    </w:p>
  </w:endnote>
  <w:endnote w:type="continuationSeparator" w:id="0">
    <w:p w14:paraId="4CB852B5" w14:textId="77777777" w:rsidR="00E9041E" w:rsidRDefault="00E9041E" w:rsidP="00D2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911E" w14:textId="77777777" w:rsidR="00A92CB1" w:rsidRDefault="00A92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F14AF" w14:textId="1AE130B5" w:rsidR="00D266B9" w:rsidRPr="00D266B9" w:rsidRDefault="00D266B9">
    <w:pPr>
      <w:pStyle w:val="Footer"/>
      <w:jc w:val="right"/>
      <w:rPr>
        <w:rFonts w:ascii="Times New Roman" w:hAnsi="Times New Roman" w:cs="Times New Roman"/>
        <w:sz w:val="26"/>
        <w:szCs w:val="26"/>
      </w:rPr>
    </w:pPr>
  </w:p>
  <w:p w14:paraId="34F97F5A" w14:textId="77777777" w:rsidR="00D266B9" w:rsidRDefault="00D26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3773" w14:textId="77777777" w:rsidR="00A92CB1" w:rsidRDefault="00A9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A4DD7" w14:textId="77777777" w:rsidR="00E9041E" w:rsidRDefault="00E9041E" w:rsidP="00D266B9">
      <w:pPr>
        <w:spacing w:after="0" w:line="240" w:lineRule="auto"/>
      </w:pPr>
      <w:r>
        <w:separator/>
      </w:r>
    </w:p>
  </w:footnote>
  <w:footnote w:type="continuationSeparator" w:id="0">
    <w:p w14:paraId="2C127C72" w14:textId="77777777" w:rsidR="00E9041E" w:rsidRDefault="00E9041E" w:rsidP="00D26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900E" w14:textId="77777777" w:rsidR="00A92CB1" w:rsidRDefault="00A92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400982"/>
      <w:docPartObj>
        <w:docPartGallery w:val="Page Numbers (Top of Page)"/>
        <w:docPartUnique/>
      </w:docPartObj>
    </w:sdtPr>
    <w:sdtEndPr>
      <w:rPr>
        <w:rFonts w:ascii="Times New Roman" w:hAnsi="Times New Roman" w:cs="Times New Roman"/>
        <w:noProof/>
        <w:sz w:val="24"/>
        <w:szCs w:val="24"/>
      </w:rPr>
    </w:sdtEndPr>
    <w:sdtContent>
      <w:p w14:paraId="1D94A339" w14:textId="22CBAD9F" w:rsidR="00B3656F" w:rsidRPr="00A92CB1" w:rsidRDefault="00B3656F">
        <w:pPr>
          <w:pStyle w:val="Header"/>
          <w:jc w:val="center"/>
          <w:rPr>
            <w:rFonts w:ascii="Times New Roman" w:hAnsi="Times New Roman" w:cs="Times New Roman"/>
            <w:sz w:val="24"/>
            <w:szCs w:val="24"/>
          </w:rPr>
        </w:pPr>
        <w:r w:rsidRPr="00A92CB1">
          <w:rPr>
            <w:rFonts w:ascii="Times New Roman" w:hAnsi="Times New Roman" w:cs="Times New Roman"/>
            <w:sz w:val="24"/>
            <w:szCs w:val="24"/>
          </w:rPr>
          <w:fldChar w:fldCharType="begin"/>
        </w:r>
        <w:r w:rsidRPr="00A92CB1">
          <w:rPr>
            <w:rFonts w:ascii="Times New Roman" w:hAnsi="Times New Roman" w:cs="Times New Roman"/>
            <w:sz w:val="24"/>
            <w:szCs w:val="24"/>
          </w:rPr>
          <w:instrText xml:space="preserve"> PAGE   \* MERGEFORMAT </w:instrText>
        </w:r>
        <w:r w:rsidRPr="00A92CB1">
          <w:rPr>
            <w:rFonts w:ascii="Times New Roman" w:hAnsi="Times New Roman" w:cs="Times New Roman"/>
            <w:sz w:val="24"/>
            <w:szCs w:val="24"/>
          </w:rPr>
          <w:fldChar w:fldCharType="separate"/>
        </w:r>
        <w:r w:rsidR="003E2478">
          <w:rPr>
            <w:rFonts w:ascii="Times New Roman" w:hAnsi="Times New Roman" w:cs="Times New Roman"/>
            <w:noProof/>
            <w:sz w:val="24"/>
            <w:szCs w:val="24"/>
          </w:rPr>
          <w:t>2</w:t>
        </w:r>
        <w:r w:rsidRPr="00A92CB1">
          <w:rPr>
            <w:rFonts w:ascii="Times New Roman" w:hAnsi="Times New Roman" w:cs="Times New Roman"/>
            <w:noProof/>
            <w:sz w:val="24"/>
            <w:szCs w:val="24"/>
          </w:rPr>
          <w:fldChar w:fldCharType="end"/>
        </w:r>
      </w:p>
    </w:sdtContent>
  </w:sdt>
  <w:p w14:paraId="5C23F216" w14:textId="77777777" w:rsidR="00B3656F" w:rsidRDefault="00B36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6D228" w14:textId="77777777" w:rsidR="00A92CB1" w:rsidRDefault="00A92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63D0"/>
    <w:multiLevelType w:val="hybridMultilevel"/>
    <w:tmpl w:val="2332B65C"/>
    <w:lvl w:ilvl="0" w:tplc="3EE69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156D14"/>
    <w:multiLevelType w:val="hybridMultilevel"/>
    <w:tmpl w:val="D63E82CC"/>
    <w:lvl w:ilvl="0" w:tplc="6E623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numStart w:val="1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75"/>
    <w:rsid w:val="00001D09"/>
    <w:rsid w:val="000611D3"/>
    <w:rsid w:val="0009055A"/>
    <w:rsid w:val="000E59A6"/>
    <w:rsid w:val="000E6530"/>
    <w:rsid w:val="00110F60"/>
    <w:rsid w:val="001304F5"/>
    <w:rsid w:val="00156C63"/>
    <w:rsid w:val="001821CA"/>
    <w:rsid w:val="00186657"/>
    <w:rsid w:val="00190957"/>
    <w:rsid w:val="00196F34"/>
    <w:rsid w:val="001B377E"/>
    <w:rsid w:val="001F2408"/>
    <w:rsid w:val="001F7412"/>
    <w:rsid w:val="00203C13"/>
    <w:rsid w:val="002123B6"/>
    <w:rsid w:val="0024122E"/>
    <w:rsid w:val="0025377E"/>
    <w:rsid w:val="00277054"/>
    <w:rsid w:val="002B74AF"/>
    <w:rsid w:val="002E4C32"/>
    <w:rsid w:val="002F2504"/>
    <w:rsid w:val="0034579F"/>
    <w:rsid w:val="0037444D"/>
    <w:rsid w:val="00384BC8"/>
    <w:rsid w:val="00392C80"/>
    <w:rsid w:val="003E1C74"/>
    <w:rsid w:val="003E2478"/>
    <w:rsid w:val="003F57B6"/>
    <w:rsid w:val="00420777"/>
    <w:rsid w:val="0044545F"/>
    <w:rsid w:val="00457072"/>
    <w:rsid w:val="00467ABB"/>
    <w:rsid w:val="004C0B98"/>
    <w:rsid w:val="004F2726"/>
    <w:rsid w:val="00561DBA"/>
    <w:rsid w:val="00565ECA"/>
    <w:rsid w:val="005A28BC"/>
    <w:rsid w:val="005C1F8E"/>
    <w:rsid w:val="00610F76"/>
    <w:rsid w:val="006243D7"/>
    <w:rsid w:val="006263CE"/>
    <w:rsid w:val="00692E02"/>
    <w:rsid w:val="006A2DA7"/>
    <w:rsid w:val="006D2B89"/>
    <w:rsid w:val="00715030"/>
    <w:rsid w:val="00797D69"/>
    <w:rsid w:val="007A4089"/>
    <w:rsid w:val="007B2488"/>
    <w:rsid w:val="007C3011"/>
    <w:rsid w:val="007E72C9"/>
    <w:rsid w:val="007F1484"/>
    <w:rsid w:val="008063C5"/>
    <w:rsid w:val="00814AEE"/>
    <w:rsid w:val="00834A86"/>
    <w:rsid w:val="00866406"/>
    <w:rsid w:val="00872117"/>
    <w:rsid w:val="008D4847"/>
    <w:rsid w:val="00907C20"/>
    <w:rsid w:val="009303A9"/>
    <w:rsid w:val="00935C09"/>
    <w:rsid w:val="00937078"/>
    <w:rsid w:val="009D1FA5"/>
    <w:rsid w:val="00A30FAB"/>
    <w:rsid w:val="00A50BEA"/>
    <w:rsid w:val="00A56B5C"/>
    <w:rsid w:val="00A60C2E"/>
    <w:rsid w:val="00A623A3"/>
    <w:rsid w:val="00A92CB1"/>
    <w:rsid w:val="00AC3E89"/>
    <w:rsid w:val="00AE06D3"/>
    <w:rsid w:val="00AE094E"/>
    <w:rsid w:val="00B26820"/>
    <w:rsid w:val="00B3656F"/>
    <w:rsid w:val="00B51F62"/>
    <w:rsid w:val="00B706DE"/>
    <w:rsid w:val="00BB6A5A"/>
    <w:rsid w:val="00BE0138"/>
    <w:rsid w:val="00BE39DB"/>
    <w:rsid w:val="00BF21AD"/>
    <w:rsid w:val="00C20845"/>
    <w:rsid w:val="00C40F64"/>
    <w:rsid w:val="00C53D5B"/>
    <w:rsid w:val="00CC68E8"/>
    <w:rsid w:val="00CD1045"/>
    <w:rsid w:val="00CD617F"/>
    <w:rsid w:val="00D006D2"/>
    <w:rsid w:val="00D266B9"/>
    <w:rsid w:val="00D53580"/>
    <w:rsid w:val="00D94B15"/>
    <w:rsid w:val="00DB3C9F"/>
    <w:rsid w:val="00DD68D9"/>
    <w:rsid w:val="00E30223"/>
    <w:rsid w:val="00E34801"/>
    <w:rsid w:val="00E44F50"/>
    <w:rsid w:val="00E5424A"/>
    <w:rsid w:val="00E574D6"/>
    <w:rsid w:val="00E60841"/>
    <w:rsid w:val="00E6359B"/>
    <w:rsid w:val="00E7020A"/>
    <w:rsid w:val="00E9041E"/>
    <w:rsid w:val="00EC4C67"/>
    <w:rsid w:val="00EC615C"/>
    <w:rsid w:val="00EE2526"/>
    <w:rsid w:val="00F02083"/>
    <w:rsid w:val="00F177BB"/>
    <w:rsid w:val="00F22B75"/>
    <w:rsid w:val="00F514CE"/>
    <w:rsid w:val="00FE24AF"/>
    <w:rsid w:val="00FE57B9"/>
    <w:rsid w:val="00FF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171E"/>
  <w15:docId w15:val="{95617121-13D6-4E01-BEA7-A7BA958A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B75"/>
    <w:pPr>
      <w:ind w:left="720"/>
      <w:contextualSpacing/>
    </w:pPr>
  </w:style>
  <w:style w:type="paragraph" w:styleId="Header">
    <w:name w:val="header"/>
    <w:basedOn w:val="Normal"/>
    <w:link w:val="HeaderChar"/>
    <w:uiPriority w:val="99"/>
    <w:unhideWhenUsed/>
    <w:rsid w:val="00D26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6B9"/>
  </w:style>
  <w:style w:type="paragraph" w:styleId="Footer">
    <w:name w:val="footer"/>
    <w:basedOn w:val="Normal"/>
    <w:link w:val="FooterChar"/>
    <w:uiPriority w:val="99"/>
    <w:unhideWhenUsed/>
    <w:rsid w:val="00D26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6B9"/>
  </w:style>
  <w:style w:type="paragraph" w:styleId="FootnoteText">
    <w:name w:val="footnote text"/>
    <w:basedOn w:val="Normal"/>
    <w:link w:val="FootnoteTextChar"/>
    <w:uiPriority w:val="99"/>
    <w:unhideWhenUsed/>
    <w:rsid w:val="00A623A3"/>
    <w:pPr>
      <w:spacing w:after="0" w:line="240" w:lineRule="auto"/>
    </w:pPr>
    <w:rPr>
      <w:sz w:val="20"/>
      <w:szCs w:val="20"/>
    </w:rPr>
  </w:style>
  <w:style w:type="character" w:customStyle="1" w:styleId="FootnoteTextChar">
    <w:name w:val="Footnote Text Char"/>
    <w:basedOn w:val="DefaultParagraphFont"/>
    <w:link w:val="FootnoteText"/>
    <w:uiPriority w:val="99"/>
    <w:rsid w:val="00A623A3"/>
    <w:rPr>
      <w:sz w:val="20"/>
      <w:szCs w:val="20"/>
    </w:rPr>
  </w:style>
  <w:style w:type="character" w:styleId="FootnoteReference">
    <w:name w:val="footnote reference"/>
    <w:basedOn w:val="DefaultParagraphFont"/>
    <w:uiPriority w:val="99"/>
    <w:semiHidden/>
    <w:unhideWhenUsed/>
    <w:rsid w:val="00A623A3"/>
    <w:rPr>
      <w:vertAlign w:val="superscript"/>
    </w:rPr>
  </w:style>
  <w:style w:type="paragraph" w:styleId="BalloonText">
    <w:name w:val="Balloon Text"/>
    <w:basedOn w:val="Normal"/>
    <w:link w:val="BalloonTextChar"/>
    <w:uiPriority w:val="99"/>
    <w:semiHidden/>
    <w:unhideWhenUsed/>
    <w:rsid w:val="00182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CA"/>
    <w:rPr>
      <w:rFonts w:ascii="Tahoma" w:hAnsi="Tahoma" w:cs="Tahoma"/>
      <w:sz w:val="16"/>
      <w:szCs w:val="16"/>
    </w:rPr>
  </w:style>
  <w:style w:type="paragraph" w:styleId="EndnoteText">
    <w:name w:val="endnote text"/>
    <w:basedOn w:val="Normal"/>
    <w:link w:val="EndnoteTextChar"/>
    <w:uiPriority w:val="99"/>
    <w:semiHidden/>
    <w:unhideWhenUsed/>
    <w:rsid w:val="002770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054"/>
    <w:rPr>
      <w:sz w:val="20"/>
      <w:szCs w:val="20"/>
    </w:rPr>
  </w:style>
  <w:style w:type="character" w:styleId="EndnoteReference">
    <w:name w:val="endnote reference"/>
    <w:basedOn w:val="DefaultParagraphFont"/>
    <w:uiPriority w:val="99"/>
    <w:semiHidden/>
    <w:unhideWhenUsed/>
    <w:rsid w:val="00277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F0BC4-94C2-4DD8-8002-501E68601FC5}">
  <ds:schemaRefs>
    <ds:schemaRef ds:uri="http://schemas.openxmlformats.org/officeDocument/2006/bibliography"/>
  </ds:schemaRefs>
</ds:datastoreItem>
</file>

<file path=customXml/itemProps2.xml><?xml version="1.0" encoding="utf-8"?>
<ds:datastoreItem xmlns:ds="http://schemas.openxmlformats.org/officeDocument/2006/customXml" ds:itemID="{F2C22483-01B1-4F70-B854-0D4C680F498A}"/>
</file>

<file path=customXml/itemProps3.xml><?xml version="1.0" encoding="utf-8"?>
<ds:datastoreItem xmlns:ds="http://schemas.openxmlformats.org/officeDocument/2006/customXml" ds:itemID="{1530EC89-4726-4886-BBA5-744C5709B94E}"/>
</file>

<file path=customXml/itemProps4.xml><?xml version="1.0" encoding="utf-8"?>
<ds:datastoreItem xmlns:ds="http://schemas.openxmlformats.org/officeDocument/2006/customXml" ds:itemID="{EC93CBFD-ACB3-41DD-BE20-4614B04490E8}"/>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linhbkh</dc:creator>
  <cp:lastModifiedBy>Linh (Bui Khanh Linh)</cp:lastModifiedBy>
  <cp:revision>19</cp:revision>
  <cp:lastPrinted>2025-07-07T10:48:00Z</cp:lastPrinted>
  <dcterms:created xsi:type="dcterms:W3CDTF">2024-05-06T03:39:00Z</dcterms:created>
  <dcterms:modified xsi:type="dcterms:W3CDTF">2025-07-07T10:57:00Z</dcterms:modified>
</cp:coreProperties>
</file>